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127 III 548 vom 27. März 2001</w:t>
      </w:r>
    </w:p>
    <w:p>
      <w:r>
        <w:t>GE Cour de justice, 2001-03-27, FR</w:t>
      </w:r>
    </w:p>
    <w:p>
      <w:r>
        <w:rPr>
          <w:b/>
        </w:rPr>
        <w:t xml:space="preserve">Quelle: </w:t>
      </w:r>
      <w:r>
        <w:t>https://mcp.opencaselaw.ch/entscheid/ge_gerichte_127 III 548</w:t>
      </w:r>
    </w:p>
    <w:p>
      <w:r>
        <w:t>FR: GE_GERICHTE 127 III 548 du 27 mars 2001</w:t>
      </w:r>
    </w:p>
    <w:p>
      <w:r>
        <w:t>IT: GE_GERICHTE 127 III 548 del 27 marzo 2001</w:t>
      </w:r>
    </w:p>
    <w:p>
      <w:pPr>
        <w:pStyle w:val="Heading2"/>
      </w:pPr>
      <w:r>
        <w:t>Regeste</w:t>
      </w:r>
    </w:p>
    <w:p>
      <w:r>
        <w:t>Résumé: RÉSILIATION ANTICIPÉE POUR DÉFAUT DE PAIEMENT - DOMMAGES-INTÉRÊTS - RÉDUCTION DE L'INDEMNITÉ Il est unanimement admis que le locataire qui a donné lieu, par sa faute, à la rupture prématurée du bail a l'obligation d'indemniser le bailleur pour le dommage qu'il lui a causé. L'indemnité à laquelle le bailleur peut prétendre dans un tel cas équivaut aux loyers fixés contractuellement qu'il n'a pas perçus du fait de la rupture anticipée du bail, cela pendant la période qui s'est écoulée entre, d'une part, la fin prématurée du bail, et, d'autre part, le terme pour lequel la chose pouvait être objectivement relouée, la date de l'échéance contractuelle ordinaire du bail primitivement conclu en constituant la limite maximale. Comme il s'agit d'une créance en réparation d'un dommage, il incombe au bailleur d'établir que, malgré de réels efforts, il n'a pas été à même de relouer le logement aussitôt après la résiliation du bail. En d'autres termes, le bailleur supporte le fardeau de la preuve de la durée pendant laquelle l'objet remis à bail ne pouvait pas être reloué.</w:t>
      </w:r>
    </w:p>
    <w:p>
      <w:pPr>
        <w:pStyle w:val="Heading2"/>
      </w:pPr>
      <w:r>
        <w:t>Volltext</w:t>
      </w:r>
    </w:p>
    <w:p>
      <w:r>
        <w:t>Résumé: RÉSILIATION ANTICIPÉE POUR DÉFAUT DE PAIEMENT - DOMMAGES-INTÉRÊTS - RÉDUCTION DE L'INDEMNITÉ Il est unanimement admis que le locataire qui a donné lieu, par sa faute, à la rupture prématurée du bail a l'obligation d'indemniser le bailleur pour le dommage qu'il lui a causé. L'indemnité à laquelle le bailleur peut prétendre dans un tel cas équivaut aux loyers fixés contractuellement qu'il n'a pas perçus du fait de la rupture anticipée du bail, cela pendant la période qui s'est écoulée entre, d'une part, la fin prématurée du bail, et, d'autre part, le terme pour lequel la chose pouvait être objectivement relouée, la date de l'échéance contractuelle ordinaire du bail primitivement conclu en constituant la limite maximale. Comme il s'agit d'une créance en réparation d'un dommage, il incombe au bailleur d'établir que, malgré de réels efforts, il n'a pas été à même de relouer le logement aussitôt après la résiliation du bail. En d'autres termes, le bailleur supporte le fardeau de la preuve de la durée pendant laquelle l'objet remis à bail ne pouvait pas être reloué.</w:t>
      </w:r>
    </w:p>
    <w:p>
      <w:r>
        <w:t>Descripteurs: Descripteurs: BAIL À LOYER ; RÉSILIATION ANTICIPÉE ; DEMEURE ; DÉFAUT DE PAIEMENT ; DOMMAGES-INTÉRÊTS</w:t>
      </w:r>
    </w:p>
    <w:p>
      <w:r>
        <w:t>Normes: Normes: CO.257d; CO.97; CO.99; CO.44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